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70378219" name="Picture">
</wp:docPr>
                  <a:graphic>
                    <a:graphicData uri="http://schemas.openxmlformats.org/drawingml/2006/picture">
                      <pic:pic>
                        <pic:nvPicPr>
                          <pic:cNvPr id="27037821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895616529" name="Picture">
</wp:docPr>
                  <a:graphic>
                    <a:graphicData uri="http://schemas.openxmlformats.org/drawingml/2006/picture">
                      <pic:pic>
                        <pic:nvPicPr>
                          <pic:cNvPr id="895616529"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1526738480" name="Picture">
</wp:docPr>
                        <a:graphic>
                          <a:graphicData uri="http://schemas.openxmlformats.org/drawingml/2006/picture">
                            <pic:pic>
                              <pic:nvPicPr>
                                <pic:cNvPr id="1526738480"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91250 Saintry-sur-Seine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1039045716" name="Picture">
</wp:docPr>
                  <a:graphic>
                    <a:graphicData uri="http://schemas.openxmlformats.org/drawingml/2006/picture">
                      <pic:pic>
                        <pic:nvPicPr>
                          <pic:cNvPr id="1039045716"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2147149505" name="Picture">
</wp:docPr>
                  <a:graphic>
                    <a:graphicData uri="http://schemas.openxmlformats.org/drawingml/2006/picture">
                      <pic:pic>
                        <pic:nvPicPr>
                          <pic:cNvPr id="2147149505"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5354803" name="Picture">
</wp:docPr>
                  <a:graphic>
                    <a:graphicData uri="http://schemas.openxmlformats.org/drawingml/2006/picture">
                      <pic:pic>
                        <pic:nvPicPr>
                          <pic:cNvPr id="8535480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53062484" name="Picture">
</wp:docPr>
                  <a:graphic>
                    <a:graphicData uri="http://schemas.openxmlformats.org/drawingml/2006/picture">
                      <pic:pic>
                        <pic:nvPicPr>
                          <pic:cNvPr id="165306248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87781363" name="Picture">
</wp:docPr>
                  <a:graphic>
                    <a:graphicData uri="http://schemas.openxmlformats.org/drawingml/2006/picture">
                      <pic:pic>
                        <pic:nvPicPr>
                          <pic:cNvPr id="198778136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5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60456843" name="Picture">
</wp:docPr>
                        <a:graphic>
                          <a:graphicData uri="http://schemas.openxmlformats.org/drawingml/2006/picture">
                            <pic:pic>
                              <pic:nvPicPr>
                                <pic:cNvPr id="1060456843"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627919015" name="Picture">
</wp:docPr>
                        <a:graphic>
                          <a:graphicData uri="http://schemas.openxmlformats.org/drawingml/2006/picture">
                            <pic:pic>
                              <pic:nvPicPr>
                                <pic:cNvPr id="627919015"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88601968" name="Picture">
</wp:docPr>
                        <a:graphic>
                          <a:graphicData uri="http://schemas.openxmlformats.org/drawingml/2006/picture">
                            <pic:pic>
                              <pic:nvPicPr>
                                <pic:cNvPr id="488601968"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917270766" name="Picture">
</wp:docPr>
                        <a:graphic>
                          <a:graphicData uri="http://schemas.openxmlformats.org/drawingml/2006/picture">
                            <pic:pic>
                              <pic:nvPicPr>
                                <pic:cNvPr id="917270766"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18389989" name="Picture">
</wp:docPr>
                        <a:graphic>
                          <a:graphicData uri="http://schemas.openxmlformats.org/drawingml/2006/picture">
                            <pic:pic>
                              <pic:nvPicPr>
                                <pic:cNvPr id="218389989"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73272874" name="Picture">
</wp:docPr>
                        <a:graphic>
                          <a:graphicData uri="http://schemas.openxmlformats.org/drawingml/2006/picture">
                            <pic:pic>
                              <pic:nvPicPr>
                                <pic:cNvPr id="273272874"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99439263" name="Picture">
</wp:docPr>
                        <a:graphic>
                          <a:graphicData uri="http://schemas.openxmlformats.org/drawingml/2006/picture">
                            <pic:pic>
                              <pic:nvPicPr>
                                <pic:cNvPr id="299439263" name="Picture"/>
                                <pic:cNvPicPr/>
                              </pic:nvPicPr>
                              <pic:blipFill>
                                <a:blip r:embed="img_0_1_9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596911243" name="Picture">
</wp:docPr>
                        <a:graphic>
                          <a:graphicData uri="http://schemas.openxmlformats.org/drawingml/2006/picture">
                            <pic:pic>
                              <pic:nvPicPr>
                                <pic:cNvPr id="596911243" name="Picture"/>
                                <pic:cNvPicPr/>
                              </pic:nvPicPr>
                              <pic:blipFill>
                                <a:blip r:embed="img_0_1_9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84756720" name="Picture">
</wp:docPr>
                        <a:graphic>
                          <a:graphicData uri="http://schemas.openxmlformats.org/drawingml/2006/picture">
                            <pic:pic>
                              <pic:nvPicPr>
                                <pic:cNvPr id="1184756720" name="Picture"/>
                                <pic:cNvPicPr/>
                              </pic:nvPicPr>
                              <pic:blipFill>
                                <a:blip r:embed="img_0_1_10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624422884" name="Picture">
</wp:docPr>
                        <a:graphic>
                          <a:graphicData uri="http://schemas.openxmlformats.org/drawingml/2006/picture">
                            <pic:pic>
                              <pic:nvPicPr>
                                <pic:cNvPr id="624422884" name="Picture"/>
                                <pic:cNvPicPr/>
                              </pic:nvPicPr>
                              <pic:blipFill>
                                <a:blip r:embed="img_0_1_10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2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38273711" name="Picture">
</wp:docPr>
                        <a:graphic>
                          <a:graphicData uri="http://schemas.openxmlformats.org/drawingml/2006/picture">
                            <pic:pic>
                              <pic:nvPicPr>
                                <pic:cNvPr id="1838273711" name="Picture"/>
                                <pic:cNvPicPr/>
                              </pic:nvPicPr>
                              <pic:blipFill>
                                <a:blip r:embed="img_0_1_12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80715749" name="Picture">
</wp:docPr>
                        <a:graphic>
                          <a:graphicData uri="http://schemas.openxmlformats.org/drawingml/2006/picture">
                            <pic:pic>
                              <pic:nvPicPr>
                                <pic:cNvPr id="780715749" name="Picture"/>
                                <pic:cNvPicPr/>
                              </pic:nvPicPr>
                              <pic:blipFill>
                                <a:blip r:embed="img_0_1_12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59197241" name="Picture">
</wp:docPr>
                        <a:graphic>
                          <a:graphicData uri="http://schemas.openxmlformats.org/drawingml/2006/picture">
                            <pic:pic>
                              <pic:nvPicPr>
                                <pic:cNvPr id="859197241"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08399772" name="Picture">
</wp:docPr>
                        <a:graphic>
                          <a:graphicData uri="http://schemas.openxmlformats.org/drawingml/2006/picture">
                            <pic:pic>
                              <pic:nvPicPr>
                                <pic:cNvPr id="1208399772"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70170127" name="Picture">
</wp:docPr>
                  <a:graphic>
                    <a:graphicData uri="http://schemas.openxmlformats.org/drawingml/2006/picture">
                      <pic:pic>
                        <pic:nvPicPr>
                          <pic:cNvPr id="47017012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19595281" name="Picture">
</wp:docPr>
                  <a:graphic>
                    <a:graphicData uri="http://schemas.openxmlformats.org/drawingml/2006/picture">
                      <pic:pic>
                        <pic:nvPicPr>
                          <pic:cNvPr id="191959528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11513933" name="Picture">
</wp:docPr>
                  <a:graphic>
                    <a:graphicData uri="http://schemas.openxmlformats.org/drawingml/2006/picture">
                      <pic:pic>
                        <pic:nvPicPr>
                          <pic:cNvPr id="201151393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Saintry-sur-seine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975077219" name="Picture">
</wp:docPr>
                  <a:graphic>
                    <a:graphicData uri="http://schemas.openxmlformats.org/drawingml/2006/picture">
                      <pic:pic>
                        <pic:nvPicPr>
                          <pic:cNvPr id="975077219" name="Picture"/>
                          <pic:cNvPicPr/>
                        </pic:nvPicPr>
                        <pic:blipFill>
                          <a:blip r:embed="img_0_2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554709458" name="Picture">
</wp:docPr>
                  <a:graphic>
                    <a:graphicData uri="http://schemas.openxmlformats.org/drawingml/2006/picture">
                      <pic:pic>
                        <pic:nvPicPr>
                          <pic:cNvPr id="554709458" name="Picture"/>
                          <pic:cNvPicPr/>
                        </pic:nvPicPr>
                        <pic:blipFill>
                          <a:blip r:embed="img_0_2_14.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Seine (91DDT19960002)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Seine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- 03 : Interdiction</w:t>
                    <w:br/>
                    <w:t xml:space="preserve">Date de prescription : 14/05/1996</w:t>
                    <w:br/>
                    <w:t xml:space="preserve">Date d'approbation : 20/10/2003</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"https://www.essonne.gouv.fr/Actions-de-l-Etat/Environnement-risques-naturels-et-technologiques" \t "_self" </w:instrText>
                  </w:r>
                  <w:r>
                    <w:fldChar w:fldCharType="separate"/>
                  </w:r>
                  <w:r>
                    <w:rPr>
                      <w:rFonts w:ascii="Marianne" w:hAnsi="Marianne" w:eastAsia="Marianne" w:cs="Marianne"/>
                      <w:color w:val="000000"/>
                      <w:sz w:val="14"/>
                    </w:rPr>
                    <w:t xml:space="preserve">le site de votre préfecture</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La Seine</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690216437" name="Picture">
</wp:docPr>
                  <a:graphic>
                    <a:graphicData uri="http://schemas.openxmlformats.org/drawingml/2006/picture">
                      <pic:pic>
                        <pic:nvPicPr>
                          <pic:cNvPr id="69021643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32478363" name="Picture">
</wp:docPr>
                  <a:graphic>
                    <a:graphicData uri="http://schemas.openxmlformats.org/drawingml/2006/picture">
                      <pic:pic>
                        <pic:nvPicPr>
                          <pic:cNvPr id="103247836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27215919" name="Picture">
</wp:docPr>
                  <a:graphic>
                    <a:graphicData uri="http://schemas.openxmlformats.org/drawingml/2006/picture">
                      <pic:pic>
                        <pic:nvPicPr>
                          <pic:cNvPr id="14272159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Saintry-sur-seine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 Seine et Marne Francilienne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95DRIEE_IF20190001.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DDRM91</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8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INTE1804348A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15/01/2018</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15/02/2018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INTE1726132A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09/07/2017</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27/10/2017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INTE1615488A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28/05/2016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09/06/2016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INTE9900627A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25/12/1999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NOR19861211</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10/08/1986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09/01/1987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NOR19831115</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16/08/1983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18/11/1983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NOR19830621</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09/04/1983</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24/06/1983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NOR19830111</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08/12/1982</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13/01/1983</w:t>
            </w:r>
          </w:p>
        </w:tc>
        <w:tc>
          <w:tcPr>
     </w:tcPr>
          <w:p>
            <w:pPr>
              <w:pStyle w:val="EMPTY_CELL_STYLE"/>
            </w:pPr>
          </w:p>
        </w:tc>
        <w:tc>
          <w:tcPr>
     </w:tcPr>
          <w:p>
            <w:pPr>
              <w:pStyle w:val="EMPTY_CELL_STYLE"/>
            </w:pPr>
          </w:p>
        </w:tc>
        <w:tc>
          <w:tcPr>
     </w:tcPr>
          <w:p>
            <w:pPr>
              <w:pStyle w:val="EMPTY_CELL_STYLE"/>
            </w:pPr>
          </w:p>
        </w:tc>
      </w:tr>
      <w:tr>
        <w:trPr>
          <w:trHeight w:hRule="exact" w:val="5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36746159" name="Picture">
</wp:docPr>
                  <a:graphic>
                    <a:graphicData uri="http://schemas.openxmlformats.org/drawingml/2006/picture">
                      <pic:pic>
                        <pic:nvPicPr>
                          <pic:cNvPr id="73674615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22072851" name="Picture">
</wp:docPr>
                  <a:graphic>
                    <a:graphicData uri="http://schemas.openxmlformats.org/drawingml/2006/picture">
                      <pic:pic>
                        <pic:nvPicPr>
                          <pic:cNvPr id="192207285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87720953" name="Picture">
</wp:docPr>
                  <a:graphic>
                    <a:graphicData uri="http://schemas.openxmlformats.org/drawingml/2006/picture">
                      <pic:pic>
                        <pic:nvPicPr>
                          <pic:cNvPr id="48772095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29050209" name="Picture">
</wp:docPr>
                  <a:graphic>
                    <a:graphicData uri="http://schemas.openxmlformats.org/drawingml/2006/picture">
                      <pic:pic>
                        <pic:nvPicPr>
                          <pic:cNvPr id="1829050209" name="Picture"/>
                          <pic:cNvPicPr/>
                        </pic:nvPicPr>
                        <pic:blipFill>
                          <a:blip r:embed="img_0_4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620828644" name="Picture">
</wp:docPr>
                  <a:graphic>
                    <a:graphicData uri="http://schemas.openxmlformats.org/drawingml/2006/picture">
                      <pic:pic>
                        <pic:nvPicPr>
                          <pic:cNvPr id="620828644" name="Picture"/>
                          <pic:cNvPicPr/>
                        </pic:nvPicPr>
                        <pic:blipFill>
                          <a:blip r:embed="img_0_4_14.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FORTE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 Seine et Marne Francilienne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95DRIEE_IF20190001.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42745806" name="Picture">
</wp:docPr>
                  <a:graphic>
                    <a:graphicData uri="http://schemas.openxmlformats.org/drawingml/2006/picture">
                      <pic:pic>
                        <pic:nvPicPr>
                          <pic:cNvPr id="114274580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23264432" name="Picture">
</wp:docPr>
                  <a:graphic>
                    <a:graphicData uri="http://schemas.openxmlformats.org/drawingml/2006/picture">
                      <pic:pic>
                        <pic:nvPicPr>
                          <pic:cNvPr id="132326443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65984952" name="Picture">
</wp:docPr>
                  <a:graphic>
                    <a:graphicData uri="http://schemas.openxmlformats.org/drawingml/2006/picture">
                      <pic:pic>
                        <pic:nvPicPr>
                          <pic:cNvPr id="166598495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99494341" name="Picture">
</wp:docPr>
                  <a:graphic>
                    <a:graphicData uri="http://schemas.openxmlformats.org/drawingml/2006/picture">
                      <pic:pic>
                        <pic:nvPicPr>
                          <pic:cNvPr id="99494341" name="Picture"/>
                          <pic:cNvPicPr/>
                        </pic:nvPicPr>
                        <pic:blipFill>
                          <a:blip r:embed="img_0_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1894901855" name="Picture">
</wp:docPr>
                  <a:graphic>
                    <a:graphicData uri="http://schemas.openxmlformats.org/drawingml/2006/picture">
                      <pic:pic>
                        <pic:nvPicPr>
                          <pic:cNvPr id="1894901855" name="Picture"/>
                          <pic:cNvPicPr/>
                        </pic:nvPicPr>
                        <pic:blipFill>
                          <a:blip r:embed="img_0_5_13.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1/5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84817932" name="Picture">
</wp:docPr>
                  <a:graphic>
                    <a:graphicData uri="http://schemas.openxmlformats.org/drawingml/2006/picture">
                      <pic:pic>
                        <pic:nvPicPr>
                          <pic:cNvPr id="28481793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90201176" name="Picture">
</wp:docPr>
                  <a:graphic>
                    <a:graphicData uri="http://schemas.openxmlformats.org/drawingml/2006/picture">
                      <pic:pic>
                        <pic:nvPicPr>
                          <pic:cNvPr id="149020117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80853628" name="Picture">
</wp:docPr>
                  <a:graphic>
                    <a:graphicData uri="http://schemas.openxmlformats.org/drawingml/2006/picture">
                      <pic:pic>
                        <pic:nvPicPr>
                          <pic:cNvPr id="198085362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2837315" name="Picture">
</wp:docPr>
                  <a:graphic>
                    <a:graphicData uri="http://schemas.openxmlformats.org/drawingml/2006/picture">
                      <pic:pic>
                        <pic:nvPicPr>
                          <pic:cNvPr id="22837315" name="Picture"/>
                          <pic:cNvPicPr/>
                        </pic:nvPicPr>
                        <pic:blipFill>
                          <a:blip r:embed="img_0_6_3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317665228" name="Picture">
</wp:docPr>
                  <a:graphic>
                    <a:graphicData uri="http://schemas.openxmlformats.org/drawingml/2006/picture">
                      <pic:pic>
                        <pic:nvPicPr>
                          <pic:cNvPr id="1317665228" name="Picture"/>
                          <pic:cNvPicPr/>
                        </pic:nvPicPr>
                        <pic:blipFill>
                          <a:blip r:embed="img_0_6_36.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4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INTE1935645A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19/12/2019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INTE9700555A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01/01/1993</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30/12/1997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INTE9300372A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01/01/1991</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03/09/1993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INTE9100235A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01/06/1989</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12/06/1991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24517861" name="Picture">
</wp:docPr>
                  <a:graphic>
                    <a:graphicData uri="http://schemas.openxmlformats.org/drawingml/2006/picture">
                      <pic:pic>
                        <pic:nvPicPr>
                          <pic:cNvPr id="172451786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54935773" name="Picture">
</wp:docPr>
                  <a:graphic>
                    <a:graphicData uri="http://schemas.openxmlformats.org/drawingml/2006/picture">
                      <pic:pic>
                        <pic:nvPicPr>
                          <pic:cNvPr id="165493577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75789020" name="Picture">
</wp:docPr>
                  <a:graphic>
                    <a:graphicData uri="http://schemas.openxmlformats.org/drawingml/2006/picture">
                      <pic:pic>
                        <pic:nvPicPr>
                          <pic:cNvPr id="167578902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04432461" name="Picture">
</wp:docPr>
                  <a:graphic>
                    <a:graphicData uri="http://schemas.openxmlformats.org/drawingml/2006/picture">
                      <pic:pic>
                        <pic:nvPicPr>
                          <pic:cNvPr id="304432461"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654589694" name="Picture">
</wp:docPr>
                  <a:graphic>
                    <a:graphicData uri="http://schemas.openxmlformats.org/drawingml/2006/picture">
                      <pic:pic>
                        <pic:nvPicPr>
                          <pic:cNvPr id="654589694" name="Picture"/>
                          <pic:cNvPicPr/>
                        </pic:nvPicPr>
                        <pic:blipFill>
                          <a:blip r:embed="img_0_7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23442302" name="Picture">
</wp:docPr>
                  <a:graphic>
                    <a:graphicData uri="http://schemas.openxmlformats.org/drawingml/2006/picture">
                      <pic:pic>
                        <pic:nvPicPr>
                          <pic:cNvPr id="5234423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69623617" name="Picture">
</wp:docPr>
                  <a:graphic>
                    <a:graphicData uri="http://schemas.openxmlformats.org/drawingml/2006/picture">
                      <pic:pic>
                        <pic:nvPicPr>
                          <pic:cNvPr id="26962361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68303166" name="Picture">
</wp:docPr>
                  <a:graphic>
                    <a:graphicData uri="http://schemas.openxmlformats.org/drawingml/2006/picture">
                      <pic:pic>
                        <pic:nvPicPr>
                          <pic:cNvPr id="156830316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13612598" name="Picture">
</wp:docPr>
                  <a:graphic>
                    <a:graphicData uri="http://schemas.openxmlformats.org/drawingml/2006/picture">
                      <pic:pic>
                        <pic:nvPicPr>
                          <pic:cNvPr id="1913612598" name="Picture"/>
                          <pic:cNvPicPr/>
                        </pic:nvPicPr>
                        <pic:blipFill>
                          <a:blip r:embed="img_0_8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331007343" name="Picture">
</wp:docPr>
                  <a:graphic>
                    <a:graphicData uri="http://schemas.openxmlformats.org/drawingml/2006/picture">
                      <pic:pic>
                        <pic:nvPicPr>
                          <pic:cNvPr id="1331007343" name="Picture"/>
                          <pic:cNvPicPr/>
                        </pic:nvPicPr>
                        <pic:blipFill>
                          <a:blip r:embed="img_0_8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96922620" name="Picture">
</wp:docPr>
                  <a:graphic>
                    <a:graphicData uri="http://schemas.openxmlformats.org/drawingml/2006/picture">
                      <pic:pic>
                        <pic:nvPicPr>
                          <pic:cNvPr id="109692262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581727304" name="Picture">
</wp:docPr>
                  <a:graphic>
                    <a:graphicData uri="http://schemas.openxmlformats.org/drawingml/2006/picture">
                      <pic:pic>
                        <pic:nvPicPr>
                          <pic:cNvPr id="58172730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87875646" name="Picture">
</wp:docPr>
                  <a:graphic>
                    <a:graphicData uri="http://schemas.openxmlformats.org/drawingml/2006/picture">
                      <pic:pic>
                        <pic:nvPicPr>
                          <pic:cNvPr id="88787564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Saintry-sur-seine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008904110" name="Picture">
</wp:docPr>
                  <a:graphic>
                    <a:graphicData uri="http://schemas.openxmlformats.org/drawingml/2006/picture">
                      <pic:pic>
                        <pic:nvPicPr>
                          <pic:cNvPr id="1008904110" name="Picture"/>
                          <pic:cNvPicPr/>
                        </pic:nvPicPr>
                        <pic:blipFill>
                          <a:blip r:embed="img_0_9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9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415541566" name="Picture">
</wp:docPr>
                  <a:graphic>
                    <a:graphicData uri="http://schemas.openxmlformats.org/drawingml/2006/picture">
                      <pic:pic>
                        <pic:nvPicPr>
                          <pic:cNvPr id="415541566" name="Picture"/>
                          <pic:cNvPicPr/>
                        </pic:nvPicPr>
                        <pic:blipFill>
                          <a:blip r:embed="img_0_9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996432103" name="Picture">
</wp:docPr>
                  <a:graphic>
                    <a:graphicData uri="http://schemas.openxmlformats.org/drawingml/2006/picture">
                      <pic:pic>
                        <pic:nvPicPr>
                          <pic:cNvPr id="99643210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82572925" name="Picture">
</wp:docPr>
                  <a:graphic>
                    <a:graphicData uri="http://schemas.openxmlformats.org/drawingml/2006/picture">
                      <pic:pic>
                        <pic:nvPicPr>
                          <pic:cNvPr id="138257292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38787470" name="Picture">
</wp:docPr>
                  <a:graphic>
                    <a:graphicData uri="http://schemas.openxmlformats.org/drawingml/2006/picture">
                      <pic:pic>
                        <pic:nvPicPr>
                          <pic:cNvPr id="203878747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"https://fiches-risques.brgm.fr/georisques/infosols/instruction/SSP000596501" \t "_blank" </w:instrText>
            </w:r>
            <w:r>
              <w:fldChar w:fldCharType="separate"/>
            </w:r>
            <w:r>
              <w:rPr>
                <w:rFonts w:ascii="Marianne" w:hAnsi="Marianne" w:eastAsia="Marianne" w:cs="Marianne"/>
                <w:sz w:val="14"/>
              </w:rPr>
              <w:t xml:space="preserve">SSP000596501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ETABLISSEMENTS CHAPEAU</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Clôturée</w:t>
            </w:r>
          </w:p>
        </w:tc>
        <w:tc>
          <w:tcPr>
     </w:tcPr>
          <w:p>
            <w:pPr>
              <w:pStyle w:val="EMPTY_CELL_STYLE"/>
            </w:pPr>
          </w:p>
        </w:tc>
        <w:tc>
          <w:tcPr>
     </w:tcPr>
          <w:p>
            <w:pPr>
              <w:pStyle w:val="EMPTY_CELL_STYLE"/>
            </w:pPr>
          </w:p>
        </w:tc>
        <w:tc>
          <w:tcPr>
     </w:tcPr>
          <w:p>
            <w:pPr>
              <w:pStyle w:val="EMPTY_CELL_STYLE"/>
            </w:pPr>
          </w:p>
        </w:tc>
      </w:tr>
      <w:tr>
        <w:trPr>
          <w:trHeight w:hRule="exact" w:val="9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600319060" name="Picture">
</wp:docPr>
                  <a:graphic>
                    <a:graphicData uri="http://schemas.openxmlformats.org/drawingml/2006/picture">
                      <pic:pic>
                        <pic:nvPicPr>
                          <pic:cNvPr id="60031906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33995817" name="Picture">
</wp:docPr>
                  <a:graphic>
                    <a:graphicData uri="http://schemas.openxmlformats.org/drawingml/2006/picture">
                      <pic:pic>
                        <pic:nvPicPr>
                          <pic:cNvPr id="203399581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91250 Saintry-sur-Seine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12363449" name="Picture">
</wp:docPr>
                  <a:graphic>
                    <a:graphicData uri="http://schemas.openxmlformats.org/drawingml/2006/picture">
                      <pic:pic>
                        <pic:nvPicPr>
                          <pic:cNvPr id="41236344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9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"https://fiches-risques.brgm.fr/georisques/casias/SSP3883498" \t "_blank" </w:instrText>
            </w:r>
            <w:r>
              <w:fldChar w:fldCharType="separate"/>
            </w:r>
            <w:r>
              <w:rPr>
                <w:rFonts w:ascii="Marianne" w:hAnsi="Marianne" w:eastAsia="Marianne" w:cs="Marianne"/>
                <w:sz w:val="14"/>
              </w:rPr>
              <w:t xml:space="preserve">SSP3883498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Ferrailleur</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"https://fiches-risques.brgm.fr/georisques/casias/SSP3883497" \t "_blank" </w:instrText>
            </w:r>
            <w:r>
              <w:fldChar w:fldCharType="separate"/>
            </w:r>
            <w:r>
              <w:rPr>
                <w:rFonts w:ascii="Marianne" w:hAnsi="Marianne" w:eastAsia="Marianne" w:cs="Marianne"/>
                <w:sz w:val="14"/>
              </w:rPr>
              <w:t xml:space="preserve">SSP3883497</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"https://fiches-risques.brgm.fr/georisques/casias/SSP3883496" \t "_blank" </w:instrText>
            </w:r>
            <w:r>
              <w:fldChar w:fldCharType="separate"/>
            </w:r>
            <w:r>
              <w:rPr>
                <w:rFonts w:ascii="Marianne" w:hAnsi="Marianne" w:eastAsia="Marianne" w:cs="Marianne"/>
                <w:sz w:val="14"/>
              </w:rPr>
              <w:t xml:space="preserve">SSP3883496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 service, garage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"https://fiches-risques.brgm.fr/georisques/casias/SSP3883495" \t "_blank" </w:instrText>
            </w:r>
            <w:r>
              <w:fldChar w:fldCharType="separate"/>
            </w:r>
            <w:r>
              <w:rPr>
                <w:rFonts w:ascii="Marianne" w:hAnsi="Marianne" w:eastAsia="Marianne" w:cs="Marianne"/>
                <w:sz w:val="14"/>
              </w:rPr>
              <w:t xml:space="preserve">SSP3883495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Fabrique de matières plastiques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"https://fiches-risques.brgm.fr/georisques/casias/SSP3883494" \t "_blank" </w:instrText>
            </w:r>
            <w:r>
              <w:fldChar w:fldCharType="separate"/>
            </w:r>
            <w:r>
              <w:rPr>
                <w:rFonts w:ascii="Marianne" w:hAnsi="Marianne" w:eastAsia="Marianne" w:cs="Marianne"/>
                <w:sz w:val="14"/>
              </w:rPr>
              <w:t xml:space="preserve">SSP3883494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 carrosserie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"https://fiches-risques.brgm.fr/georisques/casias/SSP3883493" \t "_blank" </w:instrText>
            </w:r>
            <w:r>
              <w:fldChar w:fldCharType="separate"/>
            </w:r>
            <w:r>
              <w:rPr>
                <w:rFonts w:ascii="Marianne" w:hAnsi="Marianne" w:eastAsia="Marianne" w:cs="Marianne"/>
                <w:sz w:val="14"/>
              </w:rPr>
              <w:t xml:space="preserve">SSP3883493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Décharge d'ordures ménagères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"https://fiches-risques.brgm.fr/georisques/casias/SSP3883492" \t "_blank" </w:instrText>
            </w:r>
            <w:r>
              <w:fldChar w:fldCharType="separate"/>
            </w:r>
            <w:r>
              <w:rPr>
                <w:rFonts w:ascii="Marianne" w:hAnsi="Marianne" w:eastAsia="Marianne" w:cs="Marianne"/>
                <w:sz w:val="14"/>
              </w:rPr>
              <w:t xml:space="preserve">SSP3883492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d'outils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"https://fiches-risques.brgm.fr/georisques/casias/SSP3883491" \t "_blank" </w:instrText>
            </w:r>
            <w:r>
              <w:fldChar w:fldCharType="separate"/>
            </w:r>
            <w:r>
              <w:rPr>
                <w:rFonts w:ascii="Marianne" w:hAnsi="Marianne" w:eastAsia="Marianne" w:cs="Marianne"/>
                <w:sz w:val="14"/>
              </w:rPr>
              <w:t xml:space="preserve">SSP3883491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Décharge d'ordures ménagères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"https://fiches-risques.brgm.fr/georisques/casias/SSP0005965" \t "_blank" </w:instrText>
            </w:r>
            <w:r>
              <w:fldChar w:fldCharType="separate"/>
            </w:r>
            <w:r>
              <w:rPr>
                <w:rFonts w:ascii="Marianne" w:hAnsi="Marianne" w:eastAsia="Marianne" w:cs="Marianne"/>
                <w:sz w:val="14"/>
              </w:rPr>
              <w:t xml:space="preserve">SSP0005965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ETABLISSEMENTS CHAPEAU</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activité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exact" w:val="8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3" w:name="JR_PAGE_ANCHOR_0_13"/>
      <w:bookmarkEnd w:id="13"/>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2_15.jpg" Type="http://schemas.openxmlformats.org/officeDocument/2006/relationships/image" Target="media/img_0_2_15.jpg"/>
 <Relationship Id="img_0_2_14.png" Type="http://schemas.openxmlformats.org/officeDocument/2006/relationships/image" Target="media/img_0_2_14.png"/>
 <Relationship Id="img_0_4_15.jpg" Type="http://schemas.openxmlformats.org/officeDocument/2006/relationships/image" Target="media/img_0_4_15.jpg"/>
 <Relationship Id="img_0_4_14.png" Type="http://schemas.openxmlformats.org/officeDocument/2006/relationships/image" Target="media/img_0_4_14.png"/>
 <Relationship Id="img_0_5_14.jpg" Type="http://schemas.openxmlformats.org/officeDocument/2006/relationships/image" Target="media/img_0_5_14.jpg"/>
 <Relationship Id="img_0_5_13.jpg" Type="http://schemas.openxmlformats.org/officeDocument/2006/relationships/image" Target="media/img_0_5_13.jpg"/>
 <Relationship Id="img_0_6_37.jpg" Type="http://schemas.openxmlformats.org/officeDocument/2006/relationships/image" Target="media/img_0_6_37.jpg"/>
 <Relationship Id="img_0_6_36.png" Type="http://schemas.openxmlformats.org/officeDocument/2006/relationships/image" Target="media/img_0_6_36.png"/>
 <Relationship Id="img_0_7_14.jpg" Type="http://schemas.openxmlformats.org/officeDocument/2006/relationships/image" Target="media/img_0_7_14.jpg"/>
 <Relationship Id="img_0_7_13.png" Type="http://schemas.openxmlformats.org/officeDocument/2006/relationships/image" Target="media/img_0_7_13.png"/>
 <Relationship Id="img_0_8_11.jpg" Type="http://schemas.openxmlformats.org/officeDocument/2006/relationships/image" Target="media/img_0_8_11.jpg"/>
 <Relationship Id="img_0_8_10.png" Type="http://schemas.openxmlformats.org/officeDocument/2006/relationships/image" Target="media/img_0_8_10.png"/>
 <Relationship Id="img_0_9_13.jpg" Type="http://schemas.openxmlformats.org/officeDocument/2006/relationships/image" Target="media/img_0_9_13.jpg"/>
 <Relationship Id="img_0_9_12.png" Type="http://schemas.openxmlformats.org/officeDocument/2006/relationships/image" Target="media/img_0_9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